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 и стратегия управления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38.04.02 Менеджмент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«Риск-менеджмент, стратегическое и тактическое планирование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68.3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и стратегия управления персоналом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«Кадровая политика и стратегия управления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и стратегия управления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должностные инструкции работников подразделения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современные инструменты управления человеческими ресурсами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формулировать требования к сотрудникам и формировать заявки на подбор кадров, индивидуальный план развития работников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формулировать требования к специалистам по управлению рисками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внедрять системы управления рисками на уровне организации,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профессиональной деятельности методы и приемы психологии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определения функций, обязанностей и системы подотчетности внутри подразделения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распределения полномочий, ответственности и задач между работниками подразделения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координации деятельности работников подразделения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9.7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«Кадровая политика и стратегия управления персоналом организации»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11.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 КАдровая стратегия.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015.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Проблемы разработки кадровой политики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Ситуация для анализа</w:t>
            </w:r>
          </w:p>
          <w:p>
            <w:pPr>
              <w:jc w:val="both"/>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в отношении занятых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Основы работы с кадрами в системе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Новые инструменты кадровой политики государственной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Риски и угрозы кадровой безопасности</w:t>
            </w:r>
          </w:p>
          <w:p>
            <w:pPr>
              <w:jc w:val="both"/>
              <w:spacing w:after="0" w:line="240" w:lineRule="auto"/>
              <w:rPr>
                <w:sz w:val="24"/>
                <w:szCs w:val="24"/>
              </w:rPr>
            </w:pPr>
            <w:r>
              <w:rPr>
                <w:rFonts w:ascii="Times New Roman" w:hAnsi="Times New Roman" w:cs="Times New Roman"/>
                <w:color w:val="#000000"/>
                <w:sz w:val="24"/>
                <w:szCs w:val="24"/>
              </w:rPr>
              <w:t> Девиантное поведение работника в аспекте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Кадровая безопасность и коррупционное поведение работника</w:t>
            </w:r>
          </w:p>
          <w:p>
            <w:pPr>
              <w:jc w:val="both"/>
              <w:spacing w:after="0" w:line="240" w:lineRule="auto"/>
              <w:rPr>
                <w:sz w:val="24"/>
                <w:szCs w:val="24"/>
              </w:rPr>
            </w:pPr>
            <w:r>
              <w:rPr>
                <w:rFonts w:ascii="Times New Roman" w:hAnsi="Times New Roman" w:cs="Times New Roman"/>
                <w:color w:val="#000000"/>
                <w:sz w:val="24"/>
                <w:szCs w:val="24"/>
              </w:rPr>
              <w:t> Конфликт интересов как угроза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Надежность работника: определение понятий</w:t>
            </w:r>
          </w:p>
          <w:p>
            <w:pPr>
              <w:jc w:val="both"/>
              <w:spacing w:after="0" w:line="240" w:lineRule="auto"/>
              <w:rPr>
                <w:sz w:val="24"/>
                <w:szCs w:val="24"/>
              </w:rPr>
            </w:pPr>
            <w:r>
              <w:rPr>
                <w:rFonts w:ascii="Times New Roman" w:hAnsi="Times New Roman" w:cs="Times New Roman"/>
                <w:color w:val="#000000"/>
                <w:sz w:val="24"/>
                <w:szCs w:val="24"/>
              </w:rPr>
              <w:t> Виды надежности работника</w:t>
            </w:r>
          </w:p>
          <w:p>
            <w:pPr>
              <w:jc w:val="both"/>
              <w:spacing w:after="0" w:line="240" w:lineRule="auto"/>
              <w:rPr>
                <w:sz w:val="24"/>
                <w:szCs w:val="24"/>
              </w:rPr>
            </w:pPr>
            <w:r>
              <w:rPr>
                <w:rFonts w:ascii="Times New Roman" w:hAnsi="Times New Roman" w:cs="Times New Roman"/>
                <w:color w:val="#000000"/>
                <w:sz w:val="24"/>
                <w:szCs w:val="24"/>
              </w:rPr>
              <w:t> Концепция психологической надежности и кадровой безопасности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Регулятивный компонент психологической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Личностно-типологический компонент психологической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Профессионально-психологический компонент надежности и кадровые риски</w:t>
            </w:r>
          </w:p>
          <w:p>
            <w:pPr>
              <w:jc w:val="both"/>
              <w:spacing w:after="0" w:line="240" w:lineRule="auto"/>
              <w:rPr>
                <w:sz w:val="24"/>
                <w:szCs w:val="24"/>
              </w:rPr>
            </w:pPr>
            <w:r>
              <w:rPr>
                <w:rFonts w:ascii="Times New Roman" w:hAnsi="Times New Roman" w:cs="Times New Roman"/>
                <w:color w:val="#000000"/>
                <w:sz w:val="24"/>
                <w:szCs w:val="24"/>
              </w:rPr>
              <w:t> Эмпирическая характеристика психологически надежного и ненадежного государственного гражданского и муниципального служащего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 КАдровая стратегия.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и стратегия управления персоналом организации» / Ильченко С.М..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Петропавловская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https://urait.ru/bcode/474247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9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5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2024-2025_ФГОС3++2024_Маг-ОФО-Менеджмент(РМСиТПО)(24)_plx_Кадровая политика и стратегия управления персоналом организации</dc:title>
  <dc:creator>FastReport.NET</dc:creator>
</cp:coreProperties>
</file>